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73E7B" w14:textId="77777777" w:rsidR="00487483" w:rsidRPr="00487483" w:rsidRDefault="00487483" w:rsidP="00487483">
      <w:pPr>
        <w:spacing w:after="0" w:line="240" w:lineRule="auto"/>
        <w:ind w:left="720"/>
        <w:jc w:val="center"/>
        <w:rPr>
          <w:rFonts w:ascii="Calibri" w:eastAsia="Times New Roman" w:hAnsi="Calibri" w:cs="Calibri"/>
          <w:b/>
          <w:sz w:val="32"/>
          <w:szCs w:val="32"/>
        </w:rPr>
      </w:pPr>
      <w:bookmarkStart w:id="0" w:name="_GoBack"/>
      <w:bookmarkEnd w:id="0"/>
      <w:r w:rsidRPr="00487483">
        <w:rPr>
          <w:rFonts w:ascii="Calibri" w:eastAsia="Times New Roman" w:hAnsi="Calibri" w:cs="Calibri"/>
          <w:b/>
          <w:sz w:val="32"/>
          <w:szCs w:val="32"/>
        </w:rPr>
        <w:t>Coating Application Specialist Diploma</w:t>
      </w:r>
    </w:p>
    <w:p w14:paraId="5594BB31" w14:textId="77777777" w:rsidR="00487483" w:rsidRPr="00487483" w:rsidRDefault="00487483" w:rsidP="00487483">
      <w:pPr>
        <w:spacing w:after="0" w:line="240" w:lineRule="auto"/>
        <w:ind w:left="720"/>
        <w:jc w:val="center"/>
        <w:rPr>
          <w:rFonts w:ascii="Calibri" w:eastAsia="Times New Roman" w:hAnsi="Calibri" w:cs="Calibri"/>
          <w:sz w:val="24"/>
          <w:szCs w:val="24"/>
          <w:lang w:val="en"/>
        </w:rPr>
      </w:pPr>
      <w:r w:rsidRPr="00487483">
        <w:rPr>
          <w:rFonts w:ascii="Calibri" w:eastAsia="Times New Roman" w:hAnsi="Calibri" w:cs="Calibri"/>
          <w:b/>
          <w:sz w:val="24"/>
          <w:szCs w:val="24"/>
        </w:rPr>
        <w:t xml:space="preserve">CIP Code </w:t>
      </w:r>
      <w:r w:rsidRPr="00487483">
        <w:rPr>
          <w:rFonts w:ascii="Calibri" w:eastAsia="Times New Roman" w:hAnsi="Calibri" w:cs="Calibri"/>
          <w:sz w:val="24"/>
          <w:szCs w:val="24"/>
          <w:lang w:val="en"/>
        </w:rPr>
        <w:t>47-2141.00</w:t>
      </w:r>
    </w:p>
    <w:p w14:paraId="45DE1DB8" w14:textId="77777777" w:rsidR="00487483" w:rsidRPr="00487483" w:rsidRDefault="00487483" w:rsidP="00487483">
      <w:pPr>
        <w:spacing w:after="0" w:line="240" w:lineRule="auto"/>
        <w:ind w:left="720"/>
        <w:jc w:val="center"/>
        <w:rPr>
          <w:rFonts w:ascii="Calibri" w:eastAsia="Times New Roman" w:hAnsi="Calibri" w:cs="Calibri"/>
          <w:sz w:val="24"/>
          <w:szCs w:val="24"/>
          <w:lang w:val="en"/>
        </w:rPr>
      </w:pPr>
    </w:p>
    <w:p w14:paraId="7526EA4A" w14:textId="77777777" w:rsidR="00487483" w:rsidRPr="00487483" w:rsidRDefault="00487483" w:rsidP="00487483">
      <w:pPr>
        <w:spacing w:after="0" w:line="240" w:lineRule="auto"/>
        <w:rPr>
          <w:rFonts w:ascii="Calibri" w:eastAsia="Times New Roman" w:hAnsi="Calibri" w:cs="Calibri"/>
          <w:sz w:val="20"/>
          <w:szCs w:val="20"/>
          <w:lang w:val="en"/>
        </w:rPr>
      </w:pPr>
      <w:r w:rsidRPr="00487483">
        <w:rPr>
          <w:rFonts w:ascii="Calibri" w:eastAsia="Times New Roman" w:hAnsi="Calibri" w:cs="Calibri"/>
          <w:sz w:val="20"/>
          <w:szCs w:val="20"/>
          <w:lang w:val="en"/>
        </w:rPr>
        <w:t xml:space="preserve">A coating application specialist paints walls, equipment, buildings, bridges, and other structural surfaces, using brushes, rollers, and spray guns. They may remove old paint to prepare surface prior to painting.  They may mix colors or oils to obtain desired color or consistency.  Specific objectives for this program include:  </w:t>
      </w:r>
    </w:p>
    <w:tbl>
      <w:tblPr>
        <w:tblW w:w="5000" w:type="pct"/>
        <w:tblCellSpacing w:w="22" w:type="dxa"/>
        <w:shd w:val="clear" w:color="auto" w:fill="FFFFFF"/>
        <w:tblCellMar>
          <w:top w:w="45" w:type="dxa"/>
          <w:left w:w="45" w:type="dxa"/>
          <w:bottom w:w="45" w:type="dxa"/>
          <w:right w:w="45" w:type="dxa"/>
        </w:tblCellMar>
        <w:tblLook w:val="04A0" w:firstRow="1" w:lastRow="0" w:firstColumn="1" w:lastColumn="0" w:noHBand="0" w:noVBand="1"/>
      </w:tblPr>
      <w:tblGrid>
        <w:gridCol w:w="9360"/>
      </w:tblGrid>
      <w:tr w:rsidR="00487483" w:rsidRPr="00487483" w14:paraId="538FC70B" w14:textId="77777777" w:rsidTr="007853F8">
        <w:trPr>
          <w:tblCellSpacing w:w="22" w:type="dxa"/>
        </w:trPr>
        <w:tc>
          <w:tcPr>
            <w:tcW w:w="4959" w:type="pct"/>
            <w:shd w:val="clear" w:color="auto" w:fill="FFFFFF"/>
            <w:hideMark/>
          </w:tcPr>
          <w:p w14:paraId="70F71FE7" w14:textId="77777777" w:rsidR="00487483" w:rsidRPr="00487483" w:rsidRDefault="00487483" w:rsidP="00487483">
            <w:pPr>
              <w:numPr>
                <w:ilvl w:val="0"/>
                <w:numId w:val="1"/>
              </w:numPr>
              <w:spacing w:after="0" w:line="240" w:lineRule="auto"/>
              <w:rPr>
                <w:rFonts w:ascii="Calibri" w:eastAsia="Times New Roman" w:hAnsi="Calibri" w:cs="Calibri"/>
                <w:sz w:val="20"/>
                <w:szCs w:val="20"/>
              </w:rPr>
            </w:pPr>
            <w:r w:rsidRPr="00487483">
              <w:rPr>
                <w:rFonts w:ascii="Calibri" w:eastAsia="Times New Roman" w:hAnsi="Calibri" w:cs="Calibri"/>
                <w:b/>
                <w:bCs/>
                <w:sz w:val="20"/>
                <w:szCs w:val="20"/>
              </w:rPr>
              <w:t>Getting Information</w:t>
            </w:r>
            <w:r w:rsidRPr="00487483">
              <w:rPr>
                <w:rFonts w:ascii="Calibri" w:eastAsia="Times New Roman" w:hAnsi="Calibri" w:cs="Calibri"/>
                <w:sz w:val="20"/>
                <w:szCs w:val="20"/>
              </w:rPr>
              <w:t xml:space="preserve"> — observing, receiving, and otherwise obtaining information from all relevant sources.</w:t>
            </w:r>
          </w:p>
        </w:tc>
      </w:tr>
      <w:tr w:rsidR="00487483" w:rsidRPr="00487483" w14:paraId="546C1F22" w14:textId="77777777" w:rsidTr="007853F8">
        <w:trPr>
          <w:tblCellSpacing w:w="22" w:type="dxa"/>
        </w:trPr>
        <w:tc>
          <w:tcPr>
            <w:tcW w:w="4959" w:type="pct"/>
            <w:shd w:val="clear" w:color="auto" w:fill="FFFFFF"/>
            <w:hideMark/>
          </w:tcPr>
          <w:p w14:paraId="4DD3E103" w14:textId="77777777" w:rsidR="00487483" w:rsidRPr="00487483" w:rsidRDefault="00487483" w:rsidP="00487483">
            <w:pPr>
              <w:numPr>
                <w:ilvl w:val="0"/>
                <w:numId w:val="1"/>
              </w:numPr>
              <w:spacing w:after="0" w:line="240" w:lineRule="auto"/>
              <w:rPr>
                <w:rFonts w:ascii="Calibri" w:eastAsia="Times New Roman" w:hAnsi="Calibri" w:cs="Calibri"/>
                <w:sz w:val="20"/>
                <w:szCs w:val="20"/>
              </w:rPr>
            </w:pPr>
            <w:r w:rsidRPr="00487483">
              <w:rPr>
                <w:rFonts w:ascii="Calibri" w:eastAsia="Times New Roman" w:hAnsi="Calibri" w:cs="Calibri"/>
                <w:b/>
                <w:bCs/>
                <w:sz w:val="20"/>
                <w:szCs w:val="20"/>
              </w:rPr>
              <w:t>Performing General Physical Activities</w:t>
            </w:r>
            <w:r w:rsidRPr="00487483">
              <w:rPr>
                <w:rFonts w:ascii="Calibri" w:eastAsia="Times New Roman" w:hAnsi="Calibri" w:cs="Calibri"/>
                <w:sz w:val="20"/>
                <w:szCs w:val="20"/>
              </w:rPr>
              <w:t xml:space="preserve"> — performing physical activities that require considerable use of your arms and legs and moving your whole body, such as climbing, lifting, balancing, walking, stooping, and handling of materials.</w:t>
            </w:r>
          </w:p>
        </w:tc>
      </w:tr>
      <w:tr w:rsidR="00487483" w:rsidRPr="00487483" w14:paraId="58661DCC" w14:textId="77777777" w:rsidTr="007853F8">
        <w:trPr>
          <w:tblCellSpacing w:w="22" w:type="dxa"/>
        </w:trPr>
        <w:tc>
          <w:tcPr>
            <w:tcW w:w="4959" w:type="pct"/>
            <w:shd w:val="clear" w:color="auto" w:fill="FFFFFF"/>
            <w:hideMark/>
          </w:tcPr>
          <w:p w14:paraId="52F33C88" w14:textId="77777777" w:rsidR="00487483" w:rsidRPr="00487483" w:rsidRDefault="00487483" w:rsidP="00487483">
            <w:pPr>
              <w:numPr>
                <w:ilvl w:val="0"/>
                <w:numId w:val="1"/>
              </w:numPr>
              <w:spacing w:after="0" w:line="240" w:lineRule="auto"/>
              <w:rPr>
                <w:rFonts w:ascii="Calibri" w:eastAsia="Times New Roman" w:hAnsi="Calibri" w:cs="Calibri"/>
                <w:sz w:val="20"/>
                <w:szCs w:val="20"/>
              </w:rPr>
            </w:pPr>
            <w:r w:rsidRPr="00487483">
              <w:rPr>
                <w:rFonts w:ascii="Calibri" w:eastAsia="Times New Roman" w:hAnsi="Calibri" w:cs="Calibri"/>
                <w:b/>
                <w:bCs/>
                <w:sz w:val="20"/>
                <w:szCs w:val="20"/>
              </w:rPr>
              <w:t>Handling and Moving Objects</w:t>
            </w:r>
            <w:r w:rsidRPr="00487483">
              <w:rPr>
                <w:rFonts w:ascii="Calibri" w:eastAsia="Times New Roman" w:hAnsi="Calibri" w:cs="Calibri"/>
                <w:sz w:val="20"/>
                <w:szCs w:val="20"/>
              </w:rPr>
              <w:t xml:space="preserve"> — Using hands and arms in handling, installing, positioning, and moving materials, and manipulating things.</w:t>
            </w:r>
          </w:p>
        </w:tc>
      </w:tr>
      <w:tr w:rsidR="00487483" w:rsidRPr="00487483" w14:paraId="5D15416D" w14:textId="77777777" w:rsidTr="007853F8">
        <w:trPr>
          <w:tblCellSpacing w:w="22" w:type="dxa"/>
        </w:trPr>
        <w:tc>
          <w:tcPr>
            <w:tcW w:w="4959" w:type="pct"/>
            <w:shd w:val="clear" w:color="auto" w:fill="FFFFFF"/>
            <w:hideMark/>
          </w:tcPr>
          <w:p w14:paraId="609206A1" w14:textId="77777777" w:rsidR="00487483" w:rsidRPr="00487483" w:rsidRDefault="00487483" w:rsidP="00487483">
            <w:pPr>
              <w:numPr>
                <w:ilvl w:val="0"/>
                <w:numId w:val="1"/>
              </w:numPr>
              <w:spacing w:after="0" w:line="240" w:lineRule="auto"/>
              <w:rPr>
                <w:rFonts w:ascii="Calibri" w:eastAsia="Times New Roman" w:hAnsi="Calibri" w:cs="Calibri"/>
                <w:sz w:val="20"/>
                <w:szCs w:val="20"/>
              </w:rPr>
            </w:pPr>
            <w:r w:rsidRPr="00487483">
              <w:rPr>
                <w:rFonts w:ascii="Calibri" w:eastAsia="Times New Roman" w:hAnsi="Calibri" w:cs="Calibri"/>
                <w:b/>
                <w:bCs/>
                <w:sz w:val="20"/>
                <w:szCs w:val="20"/>
              </w:rPr>
              <w:t>Inspecting Equipment, Structures, or Material</w:t>
            </w:r>
            <w:r w:rsidRPr="00487483">
              <w:rPr>
                <w:rFonts w:ascii="Calibri" w:eastAsia="Times New Roman" w:hAnsi="Calibri" w:cs="Calibri"/>
                <w:sz w:val="20"/>
                <w:szCs w:val="20"/>
              </w:rPr>
              <w:t xml:space="preserve"> — Inspecting equipment, structures, or materials to identify the cause of errors or other problems or defects.</w:t>
            </w:r>
          </w:p>
        </w:tc>
      </w:tr>
      <w:tr w:rsidR="00487483" w:rsidRPr="00487483" w14:paraId="1307CC34" w14:textId="77777777" w:rsidTr="007853F8">
        <w:trPr>
          <w:tblCellSpacing w:w="22" w:type="dxa"/>
        </w:trPr>
        <w:tc>
          <w:tcPr>
            <w:tcW w:w="4959" w:type="pct"/>
            <w:shd w:val="clear" w:color="auto" w:fill="FFFFFF"/>
            <w:hideMark/>
          </w:tcPr>
          <w:p w14:paraId="137BE4DE" w14:textId="77777777" w:rsidR="00487483" w:rsidRPr="00487483" w:rsidRDefault="00487483" w:rsidP="00487483">
            <w:pPr>
              <w:numPr>
                <w:ilvl w:val="0"/>
                <w:numId w:val="1"/>
              </w:numPr>
              <w:spacing w:after="0" w:line="240" w:lineRule="auto"/>
              <w:rPr>
                <w:rFonts w:ascii="Calibri" w:eastAsia="Times New Roman" w:hAnsi="Calibri" w:cs="Calibri"/>
                <w:sz w:val="20"/>
                <w:szCs w:val="20"/>
              </w:rPr>
            </w:pPr>
            <w:r w:rsidRPr="00487483">
              <w:rPr>
                <w:rFonts w:ascii="Calibri" w:eastAsia="Times New Roman" w:hAnsi="Calibri" w:cs="Calibri"/>
                <w:b/>
                <w:bCs/>
                <w:sz w:val="20"/>
                <w:szCs w:val="20"/>
              </w:rPr>
              <w:t>Organizing, Planning, and Prioritizing Work</w:t>
            </w:r>
            <w:r w:rsidRPr="00487483">
              <w:rPr>
                <w:rFonts w:ascii="Calibri" w:eastAsia="Times New Roman" w:hAnsi="Calibri" w:cs="Calibri"/>
                <w:sz w:val="20"/>
                <w:szCs w:val="20"/>
              </w:rPr>
              <w:t xml:space="preserve"> — Developing specific goals and plans to prioritize, organize, and accomplish your work.</w:t>
            </w:r>
          </w:p>
        </w:tc>
      </w:tr>
      <w:tr w:rsidR="00487483" w:rsidRPr="00487483" w14:paraId="62CDDBE3" w14:textId="77777777" w:rsidTr="007853F8">
        <w:trPr>
          <w:tblCellSpacing w:w="22" w:type="dxa"/>
        </w:trPr>
        <w:tc>
          <w:tcPr>
            <w:tcW w:w="4959" w:type="pct"/>
            <w:shd w:val="clear" w:color="auto" w:fill="FFFFFF"/>
            <w:hideMark/>
          </w:tcPr>
          <w:p w14:paraId="2D31992B" w14:textId="77777777" w:rsidR="00487483" w:rsidRPr="00487483" w:rsidRDefault="00487483" w:rsidP="00487483">
            <w:pPr>
              <w:numPr>
                <w:ilvl w:val="0"/>
                <w:numId w:val="1"/>
              </w:numPr>
              <w:spacing w:after="0" w:line="240" w:lineRule="auto"/>
              <w:rPr>
                <w:rFonts w:ascii="Calibri" w:eastAsia="Times New Roman" w:hAnsi="Calibri" w:cs="Calibri"/>
                <w:sz w:val="20"/>
                <w:szCs w:val="20"/>
              </w:rPr>
            </w:pPr>
            <w:r w:rsidRPr="00487483">
              <w:rPr>
                <w:rFonts w:ascii="Calibri" w:eastAsia="Times New Roman" w:hAnsi="Calibri" w:cs="Calibri"/>
                <w:b/>
                <w:bCs/>
                <w:sz w:val="20"/>
                <w:szCs w:val="20"/>
              </w:rPr>
              <w:t>Communicating with Supervisors, Peers, or Subordinates</w:t>
            </w:r>
            <w:r w:rsidRPr="00487483">
              <w:rPr>
                <w:rFonts w:ascii="Calibri" w:eastAsia="Times New Roman" w:hAnsi="Calibri" w:cs="Calibri"/>
                <w:sz w:val="20"/>
                <w:szCs w:val="20"/>
              </w:rPr>
              <w:t xml:space="preserve"> — Providing information to supervisors, co-workers, and subordinates by telephone, in written form, e-mail, or in person.</w:t>
            </w:r>
          </w:p>
        </w:tc>
      </w:tr>
      <w:tr w:rsidR="00487483" w:rsidRPr="00487483" w14:paraId="6773AC31" w14:textId="77777777" w:rsidTr="007853F8">
        <w:trPr>
          <w:tblCellSpacing w:w="22" w:type="dxa"/>
        </w:trPr>
        <w:tc>
          <w:tcPr>
            <w:tcW w:w="4959" w:type="pct"/>
            <w:shd w:val="clear" w:color="auto" w:fill="FFFFFF"/>
            <w:hideMark/>
          </w:tcPr>
          <w:p w14:paraId="0E79886E" w14:textId="77777777" w:rsidR="00487483" w:rsidRPr="00487483" w:rsidRDefault="00487483" w:rsidP="00487483">
            <w:pPr>
              <w:numPr>
                <w:ilvl w:val="0"/>
                <w:numId w:val="1"/>
              </w:numPr>
              <w:spacing w:after="0" w:line="240" w:lineRule="auto"/>
              <w:rPr>
                <w:rFonts w:ascii="Calibri" w:eastAsia="Times New Roman" w:hAnsi="Calibri" w:cs="Calibri"/>
                <w:sz w:val="20"/>
                <w:szCs w:val="20"/>
              </w:rPr>
            </w:pPr>
            <w:r w:rsidRPr="00487483">
              <w:rPr>
                <w:rFonts w:ascii="Calibri" w:eastAsia="Times New Roman" w:hAnsi="Calibri" w:cs="Calibri"/>
                <w:b/>
                <w:bCs/>
                <w:sz w:val="20"/>
                <w:szCs w:val="20"/>
              </w:rPr>
              <w:t>Establishing and Maintaining Interpersonal Relationships</w:t>
            </w:r>
            <w:r w:rsidRPr="00487483">
              <w:rPr>
                <w:rFonts w:ascii="Calibri" w:eastAsia="Times New Roman" w:hAnsi="Calibri" w:cs="Calibri"/>
                <w:sz w:val="20"/>
                <w:szCs w:val="20"/>
              </w:rPr>
              <w:t xml:space="preserve"> — Developing constructive and cooperative working relationships with others and maintaining them over time.</w:t>
            </w:r>
          </w:p>
        </w:tc>
      </w:tr>
      <w:tr w:rsidR="00487483" w:rsidRPr="00487483" w14:paraId="6524B786" w14:textId="77777777" w:rsidTr="007853F8">
        <w:trPr>
          <w:tblCellSpacing w:w="22" w:type="dxa"/>
        </w:trPr>
        <w:tc>
          <w:tcPr>
            <w:tcW w:w="4959" w:type="pct"/>
            <w:shd w:val="clear" w:color="auto" w:fill="FFFFFF"/>
            <w:hideMark/>
          </w:tcPr>
          <w:p w14:paraId="5BA1B189" w14:textId="77777777" w:rsidR="00487483" w:rsidRPr="00487483" w:rsidRDefault="00487483" w:rsidP="00487483">
            <w:pPr>
              <w:numPr>
                <w:ilvl w:val="0"/>
                <w:numId w:val="1"/>
              </w:numPr>
              <w:spacing w:after="0" w:line="240" w:lineRule="auto"/>
              <w:rPr>
                <w:rFonts w:ascii="Calibri" w:eastAsia="Times New Roman" w:hAnsi="Calibri" w:cs="Calibri"/>
                <w:sz w:val="20"/>
                <w:szCs w:val="20"/>
              </w:rPr>
            </w:pPr>
            <w:r w:rsidRPr="00487483">
              <w:rPr>
                <w:rFonts w:ascii="Calibri" w:eastAsia="Times New Roman" w:hAnsi="Calibri" w:cs="Calibri"/>
                <w:b/>
                <w:bCs/>
                <w:sz w:val="20"/>
                <w:szCs w:val="20"/>
              </w:rPr>
              <w:t>Estimating the Quantifiable Characteristics of Products, Events, or Information</w:t>
            </w:r>
            <w:r w:rsidRPr="00487483">
              <w:rPr>
                <w:rFonts w:ascii="Calibri" w:eastAsia="Times New Roman" w:hAnsi="Calibri" w:cs="Calibri"/>
                <w:sz w:val="20"/>
                <w:szCs w:val="20"/>
              </w:rPr>
              <w:t xml:space="preserve"> — Estimating sizes, distances, and quantities; or determining time, costs, resources, or materials needed to perform a work activity.</w:t>
            </w:r>
          </w:p>
        </w:tc>
      </w:tr>
      <w:tr w:rsidR="00487483" w:rsidRPr="00487483" w14:paraId="69AA0A58" w14:textId="77777777" w:rsidTr="007853F8">
        <w:trPr>
          <w:tblCellSpacing w:w="22" w:type="dxa"/>
        </w:trPr>
        <w:tc>
          <w:tcPr>
            <w:tcW w:w="4959" w:type="pct"/>
            <w:shd w:val="clear" w:color="auto" w:fill="FFFFFF"/>
            <w:hideMark/>
          </w:tcPr>
          <w:p w14:paraId="4CA178F4" w14:textId="77777777" w:rsidR="00487483" w:rsidRPr="00487483" w:rsidRDefault="00487483" w:rsidP="00487483">
            <w:pPr>
              <w:numPr>
                <w:ilvl w:val="0"/>
                <w:numId w:val="1"/>
              </w:numPr>
              <w:spacing w:after="0" w:line="240" w:lineRule="auto"/>
              <w:rPr>
                <w:rFonts w:ascii="Calibri" w:eastAsia="Times New Roman" w:hAnsi="Calibri" w:cs="Calibri"/>
                <w:sz w:val="20"/>
                <w:szCs w:val="20"/>
              </w:rPr>
            </w:pPr>
            <w:r w:rsidRPr="00487483">
              <w:rPr>
                <w:rFonts w:ascii="Calibri" w:eastAsia="Times New Roman" w:hAnsi="Calibri" w:cs="Calibri"/>
                <w:b/>
                <w:bCs/>
                <w:sz w:val="20"/>
                <w:szCs w:val="20"/>
              </w:rPr>
              <w:t>Evaluating Information to Determine Compliance with Standards</w:t>
            </w:r>
            <w:r w:rsidRPr="00487483">
              <w:rPr>
                <w:rFonts w:ascii="Calibri" w:eastAsia="Times New Roman" w:hAnsi="Calibri" w:cs="Calibri"/>
                <w:sz w:val="20"/>
                <w:szCs w:val="20"/>
              </w:rPr>
              <w:t xml:space="preserve"> — Using relevant information and individual judgment to determine whether events or processes comply with laws, regulations, or standards.</w:t>
            </w:r>
          </w:p>
        </w:tc>
      </w:tr>
    </w:tbl>
    <w:p w14:paraId="3B5BCCC7" w14:textId="77777777" w:rsidR="00487483" w:rsidRPr="00487483" w:rsidRDefault="00487483" w:rsidP="00487483">
      <w:pPr>
        <w:spacing w:after="0" w:line="240" w:lineRule="auto"/>
        <w:rPr>
          <w:rFonts w:ascii="Calibri" w:eastAsia="Times New Roman" w:hAnsi="Calibri" w:cs="Calibri"/>
          <w:b/>
          <w:sz w:val="20"/>
          <w:szCs w:val="20"/>
        </w:rPr>
      </w:pPr>
      <w:r w:rsidRPr="00487483">
        <w:rPr>
          <w:rFonts w:ascii="Calibri" w:eastAsia="Times New Roman" w:hAnsi="Calibri" w:cs="Calibri"/>
          <w:b/>
          <w:sz w:val="20"/>
          <w:szCs w:val="20"/>
        </w:rPr>
        <w:t>The Coating Application Specialist Program normally takes 4 years to complete with a total 640 hours of class time and 6000 internships as follows:</w:t>
      </w:r>
    </w:p>
    <w:p w14:paraId="4BCBBCF8" w14:textId="77777777" w:rsidR="00487483" w:rsidRPr="00487483" w:rsidRDefault="00487483" w:rsidP="00487483">
      <w:pPr>
        <w:spacing w:after="0" w:line="240" w:lineRule="auto"/>
        <w:rPr>
          <w:rFonts w:ascii="Calibri" w:eastAsia="Times New Roman" w:hAnsi="Calibri" w:cs="Calibri"/>
          <w:sz w:val="24"/>
          <w:szCs w:val="24"/>
        </w:rPr>
      </w:pPr>
    </w:p>
    <w:tbl>
      <w:tblPr>
        <w:tblW w:w="48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176"/>
        <w:gridCol w:w="4829"/>
        <w:gridCol w:w="659"/>
        <w:gridCol w:w="675"/>
        <w:gridCol w:w="741"/>
      </w:tblGrid>
      <w:tr w:rsidR="00487483" w:rsidRPr="00487483" w14:paraId="157B3A72" w14:textId="77777777" w:rsidTr="007853F8">
        <w:trPr>
          <w:jc w:val="center"/>
        </w:trPr>
        <w:tc>
          <w:tcPr>
            <w:tcW w:w="475" w:type="pct"/>
          </w:tcPr>
          <w:p w14:paraId="621D454B" w14:textId="77777777" w:rsidR="00487483" w:rsidRPr="00487483" w:rsidRDefault="00487483" w:rsidP="00487483">
            <w:pPr>
              <w:spacing w:after="0" w:line="240" w:lineRule="auto"/>
              <w:rPr>
                <w:rFonts w:ascii="Calibri" w:eastAsia="Times New Roman" w:hAnsi="Calibri" w:cs="Calibri"/>
                <w:b/>
                <w:sz w:val="18"/>
                <w:szCs w:val="18"/>
              </w:rPr>
            </w:pPr>
            <w:r w:rsidRPr="00487483">
              <w:rPr>
                <w:rFonts w:ascii="Calibri" w:eastAsia="Times New Roman" w:hAnsi="Calibri" w:cs="Calibri"/>
                <w:b/>
                <w:sz w:val="20"/>
                <w:szCs w:val="20"/>
              </w:rPr>
              <w:br w:type="page"/>
            </w:r>
            <w:r w:rsidRPr="00487483">
              <w:rPr>
                <w:rFonts w:ascii="Calibri" w:eastAsia="Times New Roman" w:hAnsi="Calibri" w:cs="Calibri"/>
                <w:b/>
                <w:sz w:val="18"/>
                <w:szCs w:val="18"/>
              </w:rPr>
              <w:t>Course Number</w:t>
            </w:r>
          </w:p>
        </w:tc>
        <w:tc>
          <w:tcPr>
            <w:tcW w:w="571" w:type="pct"/>
          </w:tcPr>
          <w:p w14:paraId="17F827DD" w14:textId="77777777" w:rsidR="00487483" w:rsidRPr="00487483" w:rsidRDefault="00487483" w:rsidP="00487483">
            <w:pPr>
              <w:spacing w:after="0" w:line="240" w:lineRule="auto"/>
              <w:rPr>
                <w:rFonts w:ascii="Calibri" w:eastAsia="Times New Roman" w:hAnsi="Calibri" w:cs="Calibri"/>
                <w:b/>
                <w:sz w:val="18"/>
                <w:szCs w:val="18"/>
              </w:rPr>
            </w:pPr>
            <w:r w:rsidRPr="00487483">
              <w:rPr>
                <w:rFonts w:ascii="Calibri" w:eastAsia="Times New Roman" w:hAnsi="Calibri" w:cs="Calibri"/>
                <w:b/>
                <w:sz w:val="18"/>
                <w:szCs w:val="18"/>
              </w:rPr>
              <w:t>Course Name</w:t>
            </w:r>
          </w:p>
        </w:tc>
        <w:tc>
          <w:tcPr>
            <w:tcW w:w="2889" w:type="pct"/>
          </w:tcPr>
          <w:p w14:paraId="261E060E" w14:textId="77777777" w:rsidR="00487483" w:rsidRPr="00487483" w:rsidRDefault="00487483" w:rsidP="00487483">
            <w:pPr>
              <w:spacing w:after="0" w:line="240" w:lineRule="auto"/>
              <w:rPr>
                <w:rFonts w:ascii="Calibri" w:eastAsia="Times New Roman" w:hAnsi="Calibri" w:cs="Calibri"/>
                <w:b/>
                <w:sz w:val="18"/>
                <w:szCs w:val="18"/>
              </w:rPr>
            </w:pPr>
            <w:r w:rsidRPr="00487483">
              <w:rPr>
                <w:rFonts w:ascii="Calibri" w:eastAsia="Times New Roman" w:hAnsi="Calibri" w:cs="Calibri"/>
                <w:b/>
                <w:sz w:val="18"/>
                <w:szCs w:val="18"/>
              </w:rPr>
              <w:t>Course Description</w:t>
            </w:r>
          </w:p>
        </w:tc>
        <w:tc>
          <w:tcPr>
            <w:tcW w:w="327" w:type="pct"/>
          </w:tcPr>
          <w:p w14:paraId="68DB0679" w14:textId="77777777" w:rsidR="00487483" w:rsidRPr="00487483" w:rsidRDefault="00487483" w:rsidP="00487483">
            <w:pPr>
              <w:spacing w:after="0" w:line="240" w:lineRule="auto"/>
              <w:rPr>
                <w:rFonts w:ascii="Calibri" w:eastAsia="Times New Roman" w:hAnsi="Calibri" w:cs="Calibri"/>
                <w:b/>
                <w:sz w:val="18"/>
                <w:szCs w:val="18"/>
              </w:rPr>
            </w:pPr>
            <w:r w:rsidRPr="00487483">
              <w:rPr>
                <w:rFonts w:ascii="Calibri" w:eastAsia="Times New Roman" w:hAnsi="Calibri" w:cs="Calibri"/>
                <w:b/>
                <w:sz w:val="18"/>
                <w:szCs w:val="18"/>
              </w:rPr>
              <w:t>Class</w:t>
            </w:r>
          </w:p>
          <w:p w14:paraId="3594436C" w14:textId="77777777" w:rsidR="00487483" w:rsidRPr="00487483" w:rsidRDefault="00487483" w:rsidP="00487483">
            <w:pPr>
              <w:spacing w:after="0" w:line="240" w:lineRule="auto"/>
              <w:rPr>
                <w:rFonts w:ascii="Calibri" w:eastAsia="Times New Roman" w:hAnsi="Calibri" w:cs="Calibri"/>
                <w:b/>
                <w:sz w:val="18"/>
                <w:szCs w:val="18"/>
              </w:rPr>
            </w:pPr>
            <w:r w:rsidRPr="00487483">
              <w:rPr>
                <w:rFonts w:ascii="Calibri" w:eastAsia="Times New Roman" w:hAnsi="Calibri" w:cs="Calibri"/>
                <w:b/>
                <w:sz w:val="18"/>
                <w:szCs w:val="18"/>
              </w:rPr>
              <w:t>Hours</w:t>
            </w:r>
          </w:p>
        </w:tc>
        <w:tc>
          <w:tcPr>
            <w:tcW w:w="340" w:type="pct"/>
          </w:tcPr>
          <w:p w14:paraId="13EB5C8E" w14:textId="77777777" w:rsidR="00487483" w:rsidRPr="00487483" w:rsidRDefault="00487483" w:rsidP="00487483">
            <w:pPr>
              <w:spacing w:after="0" w:line="240" w:lineRule="auto"/>
              <w:rPr>
                <w:rFonts w:ascii="Calibri" w:eastAsia="Times New Roman" w:hAnsi="Calibri" w:cs="Calibri"/>
                <w:b/>
                <w:sz w:val="18"/>
                <w:szCs w:val="18"/>
              </w:rPr>
            </w:pPr>
            <w:r w:rsidRPr="00487483">
              <w:rPr>
                <w:rFonts w:ascii="Calibri" w:eastAsia="Times New Roman" w:hAnsi="Calibri" w:cs="Calibri"/>
                <w:b/>
                <w:sz w:val="18"/>
                <w:szCs w:val="18"/>
              </w:rPr>
              <w:t>Intern Hours</w:t>
            </w:r>
          </w:p>
        </w:tc>
        <w:tc>
          <w:tcPr>
            <w:tcW w:w="398" w:type="pct"/>
          </w:tcPr>
          <w:p w14:paraId="474A70A7" w14:textId="77777777" w:rsidR="00487483" w:rsidRPr="00487483" w:rsidRDefault="00487483" w:rsidP="00487483">
            <w:pPr>
              <w:spacing w:after="0" w:line="240" w:lineRule="auto"/>
              <w:rPr>
                <w:rFonts w:ascii="Calibri" w:eastAsia="Times New Roman" w:hAnsi="Calibri" w:cs="Calibri"/>
                <w:b/>
                <w:sz w:val="18"/>
                <w:szCs w:val="18"/>
              </w:rPr>
            </w:pPr>
            <w:r w:rsidRPr="00487483">
              <w:rPr>
                <w:rFonts w:ascii="Calibri" w:eastAsia="Times New Roman" w:hAnsi="Calibri" w:cs="Calibri"/>
                <w:b/>
                <w:sz w:val="18"/>
                <w:szCs w:val="18"/>
              </w:rPr>
              <w:t>MCTC</w:t>
            </w:r>
            <w:r w:rsidRPr="00487483">
              <w:rPr>
                <w:rFonts w:ascii="Calibri" w:eastAsia="Times New Roman" w:hAnsi="Calibri" w:cs="Calibri"/>
                <w:b/>
                <w:sz w:val="18"/>
                <w:szCs w:val="18"/>
                <w:vertAlign w:val="superscript"/>
              </w:rPr>
              <w:footnoteReference w:id="1"/>
            </w:r>
          </w:p>
          <w:p w14:paraId="0DD091EF" w14:textId="77777777" w:rsidR="00487483" w:rsidRPr="00487483" w:rsidRDefault="00487483" w:rsidP="00487483">
            <w:pPr>
              <w:spacing w:after="0" w:line="240" w:lineRule="auto"/>
              <w:rPr>
                <w:rFonts w:ascii="Calibri" w:eastAsia="Times New Roman" w:hAnsi="Calibri" w:cs="Calibri"/>
                <w:b/>
                <w:sz w:val="18"/>
                <w:szCs w:val="18"/>
              </w:rPr>
            </w:pPr>
            <w:r w:rsidRPr="00487483">
              <w:rPr>
                <w:rFonts w:ascii="Calibri" w:eastAsia="Times New Roman" w:hAnsi="Calibri" w:cs="Calibri"/>
                <w:b/>
                <w:sz w:val="18"/>
                <w:szCs w:val="18"/>
              </w:rPr>
              <w:t>Credits</w:t>
            </w:r>
          </w:p>
        </w:tc>
      </w:tr>
      <w:tr w:rsidR="00487483" w:rsidRPr="00487483" w14:paraId="68D8C47C" w14:textId="77777777" w:rsidTr="007853F8">
        <w:trPr>
          <w:jc w:val="center"/>
        </w:trPr>
        <w:tc>
          <w:tcPr>
            <w:tcW w:w="475" w:type="pct"/>
            <w:vAlign w:val="center"/>
          </w:tcPr>
          <w:p w14:paraId="337DD8DE"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ORT001</w:t>
            </w:r>
          </w:p>
        </w:tc>
        <w:tc>
          <w:tcPr>
            <w:tcW w:w="571" w:type="pct"/>
          </w:tcPr>
          <w:p w14:paraId="7DF591FD" w14:textId="77777777" w:rsidR="00487483" w:rsidRPr="00487483" w:rsidRDefault="00487483" w:rsidP="00487483">
            <w:pPr>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 xml:space="preserve">Orientation </w:t>
            </w:r>
          </w:p>
        </w:tc>
        <w:tc>
          <w:tcPr>
            <w:tcW w:w="2889" w:type="pct"/>
          </w:tcPr>
          <w:p w14:paraId="50EE92D7" w14:textId="77777777" w:rsidR="00487483" w:rsidRPr="00487483" w:rsidRDefault="00487483" w:rsidP="00487483">
            <w:pPr>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Overview of the program requirements, intro to the union and benefits.  Also provides information on substance abuse, drug testing and help for addiction.</w:t>
            </w:r>
          </w:p>
        </w:tc>
        <w:tc>
          <w:tcPr>
            <w:tcW w:w="327" w:type="pct"/>
            <w:vAlign w:val="bottom"/>
          </w:tcPr>
          <w:p w14:paraId="6B842CBA"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40</w:t>
            </w:r>
          </w:p>
        </w:tc>
        <w:tc>
          <w:tcPr>
            <w:tcW w:w="340" w:type="pct"/>
            <w:vAlign w:val="bottom"/>
          </w:tcPr>
          <w:p w14:paraId="48B4C79E"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65</w:t>
            </w:r>
          </w:p>
        </w:tc>
        <w:tc>
          <w:tcPr>
            <w:tcW w:w="398" w:type="pct"/>
            <w:vAlign w:val="bottom"/>
          </w:tcPr>
          <w:p w14:paraId="5A5ACF8A"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0</w:t>
            </w:r>
          </w:p>
        </w:tc>
      </w:tr>
      <w:tr w:rsidR="00487483" w:rsidRPr="00487483" w14:paraId="6FB12410" w14:textId="77777777" w:rsidTr="007853F8">
        <w:trPr>
          <w:jc w:val="center"/>
        </w:trPr>
        <w:tc>
          <w:tcPr>
            <w:tcW w:w="475" w:type="pct"/>
            <w:vAlign w:val="center"/>
          </w:tcPr>
          <w:p w14:paraId="5EF6C3B4"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SFT120</w:t>
            </w:r>
          </w:p>
        </w:tc>
        <w:tc>
          <w:tcPr>
            <w:tcW w:w="571" w:type="pct"/>
          </w:tcPr>
          <w:p w14:paraId="3BBEB77E" w14:textId="77777777" w:rsidR="00487483" w:rsidRPr="00487483" w:rsidRDefault="00487483" w:rsidP="00487483">
            <w:pPr>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Safety in the Construction Trades</w:t>
            </w:r>
          </w:p>
        </w:tc>
        <w:tc>
          <w:tcPr>
            <w:tcW w:w="2889" w:type="pct"/>
          </w:tcPr>
          <w:p w14:paraId="1E923438" w14:textId="77777777" w:rsidR="00487483" w:rsidRPr="00487483" w:rsidRDefault="00487483" w:rsidP="00487483">
            <w:pPr>
              <w:autoSpaceDE w:val="0"/>
              <w:autoSpaceDN w:val="0"/>
              <w:adjustRightInd w:val="0"/>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This course provides entry level construction workers with a general awareness on how to recognize and prevent hazards on a construction site. The training covers a variety of construction safety and health hazards that a worker may encounter at a construction site.  Students earn both OSHA10 and basic First Aid/CPR certifications.</w:t>
            </w:r>
          </w:p>
        </w:tc>
        <w:tc>
          <w:tcPr>
            <w:tcW w:w="327" w:type="pct"/>
            <w:vAlign w:val="bottom"/>
          </w:tcPr>
          <w:p w14:paraId="69E9FAD8"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40</w:t>
            </w:r>
          </w:p>
        </w:tc>
        <w:tc>
          <w:tcPr>
            <w:tcW w:w="340" w:type="pct"/>
            <w:vAlign w:val="bottom"/>
          </w:tcPr>
          <w:p w14:paraId="50491AA4"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200</w:t>
            </w:r>
          </w:p>
        </w:tc>
        <w:tc>
          <w:tcPr>
            <w:tcW w:w="398" w:type="pct"/>
            <w:vAlign w:val="bottom"/>
          </w:tcPr>
          <w:p w14:paraId="1F8FEE2E"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3</w:t>
            </w:r>
          </w:p>
        </w:tc>
      </w:tr>
      <w:tr w:rsidR="00487483" w:rsidRPr="00487483" w14:paraId="2425C213" w14:textId="77777777" w:rsidTr="007853F8">
        <w:trPr>
          <w:jc w:val="center"/>
        </w:trPr>
        <w:tc>
          <w:tcPr>
            <w:tcW w:w="475" w:type="pct"/>
            <w:vAlign w:val="center"/>
          </w:tcPr>
          <w:p w14:paraId="79C17358"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ENVS114</w:t>
            </w:r>
          </w:p>
        </w:tc>
        <w:tc>
          <w:tcPr>
            <w:tcW w:w="571" w:type="pct"/>
          </w:tcPr>
          <w:p w14:paraId="0D72E8CA" w14:textId="77777777" w:rsidR="00487483" w:rsidRPr="00487483" w:rsidRDefault="00487483" w:rsidP="00487483">
            <w:pPr>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Green Building Technologies</w:t>
            </w:r>
          </w:p>
        </w:tc>
        <w:tc>
          <w:tcPr>
            <w:tcW w:w="2889" w:type="pct"/>
          </w:tcPr>
          <w:p w14:paraId="0C593D91" w14:textId="77777777" w:rsidR="00487483" w:rsidRPr="00487483" w:rsidRDefault="00487483" w:rsidP="00487483">
            <w:pPr>
              <w:shd w:val="clear" w:color="auto" w:fill="FFFFFF"/>
              <w:spacing w:after="0" w:line="240" w:lineRule="auto"/>
              <w:rPr>
                <w:rFonts w:ascii="Calibri" w:eastAsia="Times New Roman" w:hAnsi="Calibri" w:cs="Calibri"/>
                <w:color w:val="000000"/>
                <w:sz w:val="18"/>
                <w:szCs w:val="18"/>
              </w:rPr>
            </w:pPr>
            <w:r w:rsidRPr="00487483">
              <w:rPr>
                <w:rFonts w:ascii="Calibri" w:eastAsia="Times New Roman" w:hAnsi="Calibri" w:cs="Calibri"/>
                <w:color w:val="000000"/>
                <w:sz w:val="18"/>
                <w:szCs w:val="18"/>
              </w:rPr>
              <w:t xml:space="preserve">This course will enable students to develop practices that save energy; reduce the production of waste; use environmentally friendly products and materials; recycle materials; adopt sustainable strategies; work to protect employee health and </w:t>
            </w:r>
            <w:r w:rsidRPr="00487483">
              <w:rPr>
                <w:rFonts w:ascii="Calibri" w:eastAsia="Times New Roman" w:hAnsi="Calibri" w:cs="Calibri"/>
                <w:color w:val="000000"/>
                <w:sz w:val="18"/>
                <w:szCs w:val="18"/>
              </w:rPr>
              <w:lastRenderedPageBreak/>
              <w:t>safety; and adopt other practices, technologies and high-performance work processes that reduce carbon emissions while retaining good jobs at family-sustaining wages.</w:t>
            </w:r>
          </w:p>
        </w:tc>
        <w:tc>
          <w:tcPr>
            <w:tcW w:w="327" w:type="pct"/>
            <w:vAlign w:val="bottom"/>
          </w:tcPr>
          <w:p w14:paraId="569B8F48"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lastRenderedPageBreak/>
              <w:t>40</w:t>
            </w:r>
          </w:p>
        </w:tc>
        <w:tc>
          <w:tcPr>
            <w:tcW w:w="340" w:type="pct"/>
            <w:vAlign w:val="bottom"/>
          </w:tcPr>
          <w:p w14:paraId="28D4B26C"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135</w:t>
            </w:r>
          </w:p>
        </w:tc>
        <w:tc>
          <w:tcPr>
            <w:tcW w:w="398" w:type="pct"/>
            <w:vAlign w:val="bottom"/>
          </w:tcPr>
          <w:p w14:paraId="02CD96FB"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3</w:t>
            </w:r>
          </w:p>
        </w:tc>
      </w:tr>
      <w:tr w:rsidR="00487483" w:rsidRPr="00487483" w14:paraId="71A90976" w14:textId="77777777" w:rsidTr="007853F8">
        <w:trPr>
          <w:jc w:val="center"/>
        </w:trPr>
        <w:tc>
          <w:tcPr>
            <w:tcW w:w="475" w:type="pct"/>
            <w:vAlign w:val="center"/>
          </w:tcPr>
          <w:p w14:paraId="579310CB"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MAT198</w:t>
            </w:r>
          </w:p>
        </w:tc>
        <w:tc>
          <w:tcPr>
            <w:tcW w:w="571" w:type="pct"/>
          </w:tcPr>
          <w:p w14:paraId="3FF82DF0" w14:textId="77777777" w:rsidR="00487483" w:rsidRPr="00487483" w:rsidRDefault="00487483" w:rsidP="00487483">
            <w:pPr>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Math for Construction</w:t>
            </w:r>
          </w:p>
        </w:tc>
        <w:tc>
          <w:tcPr>
            <w:tcW w:w="2889" w:type="pct"/>
          </w:tcPr>
          <w:p w14:paraId="2F072322" w14:textId="77777777" w:rsidR="00487483" w:rsidRPr="00487483" w:rsidRDefault="00487483" w:rsidP="00487483">
            <w:pPr>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This course begins with the basic facts of arithmetic and continues through some of the early stages of algebra.  Reviewing and practicing these basic mathematical concepts are intended to help all tradesmen use math to his/her advantage and to avoid making costly mistakes on the job.  Participants in this course will learn to competently add, subtract, multiply and divide decimal fractions, have a basic understanding of percentages.</w:t>
            </w:r>
          </w:p>
        </w:tc>
        <w:tc>
          <w:tcPr>
            <w:tcW w:w="327" w:type="pct"/>
            <w:vAlign w:val="bottom"/>
          </w:tcPr>
          <w:p w14:paraId="3FDBAC1D"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40</w:t>
            </w:r>
          </w:p>
        </w:tc>
        <w:tc>
          <w:tcPr>
            <w:tcW w:w="340" w:type="pct"/>
            <w:vAlign w:val="bottom"/>
          </w:tcPr>
          <w:p w14:paraId="6966A96D"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50</w:t>
            </w:r>
          </w:p>
        </w:tc>
        <w:tc>
          <w:tcPr>
            <w:tcW w:w="398" w:type="pct"/>
            <w:vAlign w:val="bottom"/>
          </w:tcPr>
          <w:p w14:paraId="227EB316"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3</w:t>
            </w:r>
          </w:p>
        </w:tc>
      </w:tr>
      <w:tr w:rsidR="00487483" w:rsidRPr="00487483" w14:paraId="1BAD1F5C" w14:textId="77777777" w:rsidTr="007853F8">
        <w:trPr>
          <w:jc w:val="center"/>
        </w:trPr>
        <w:tc>
          <w:tcPr>
            <w:tcW w:w="475" w:type="pct"/>
            <w:vAlign w:val="center"/>
          </w:tcPr>
          <w:p w14:paraId="7CDCF617"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ARCH100</w:t>
            </w:r>
          </w:p>
        </w:tc>
        <w:tc>
          <w:tcPr>
            <w:tcW w:w="571" w:type="pct"/>
          </w:tcPr>
          <w:p w14:paraId="43D9C4DE" w14:textId="77777777" w:rsidR="00487483" w:rsidRPr="00487483" w:rsidRDefault="00487483" w:rsidP="00487483">
            <w:pPr>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Blueprints and Architectural Drawings</w:t>
            </w:r>
          </w:p>
        </w:tc>
        <w:tc>
          <w:tcPr>
            <w:tcW w:w="2889" w:type="pct"/>
          </w:tcPr>
          <w:p w14:paraId="146263E0" w14:textId="77777777" w:rsidR="00487483" w:rsidRPr="00487483" w:rsidRDefault="00487483" w:rsidP="00487483">
            <w:pPr>
              <w:autoSpaceDE w:val="0"/>
              <w:autoSpaceDN w:val="0"/>
              <w:adjustRightInd w:val="0"/>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 xml:space="preserve">This course will build upon the students’ basic mathematics, trigonometry, measurement skills and knowledge by accurately using math when reading blueprints. </w:t>
            </w:r>
          </w:p>
        </w:tc>
        <w:tc>
          <w:tcPr>
            <w:tcW w:w="327" w:type="pct"/>
            <w:vAlign w:val="bottom"/>
          </w:tcPr>
          <w:p w14:paraId="1D9E3915"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40</w:t>
            </w:r>
          </w:p>
        </w:tc>
        <w:tc>
          <w:tcPr>
            <w:tcW w:w="340" w:type="pct"/>
            <w:vAlign w:val="bottom"/>
          </w:tcPr>
          <w:p w14:paraId="5A0090A7"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50</w:t>
            </w:r>
          </w:p>
        </w:tc>
        <w:tc>
          <w:tcPr>
            <w:tcW w:w="398" w:type="pct"/>
            <w:vAlign w:val="bottom"/>
          </w:tcPr>
          <w:p w14:paraId="62BA2F15"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3</w:t>
            </w:r>
          </w:p>
        </w:tc>
      </w:tr>
      <w:tr w:rsidR="00487483" w:rsidRPr="00487483" w14:paraId="6A5DE805" w14:textId="77777777" w:rsidTr="007853F8">
        <w:trPr>
          <w:jc w:val="center"/>
        </w:trPr>
        <w:tc>
          <w:tcPr>
            <w:tcW w:w="475" w:type="pct"/>
            <w:vAlign w:val="center"/>
          </w:tcPr>
          <w:p w14:paraId="5B98C105"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SFT112</w:t>
            </w:r>
          </w:p>
        </w:tc>
        <w:tc>
          <w:tcPr>
            <w:tcW w:w="571" w:type="pct"/>
          </w:tcPr>
          <w:p w14:paraId="0E31CA4A" w14:textId="77777777" w:rsidR="00487483" w:rsidRPr="00487483" w:rsidRDefault="00487483" w:rsidP="00487483">
            <w:pPr>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Elevated Platforms</w:t>
            </w:r>
          </w:p>
        </w:tc>
        <w:tc>
          <w:tcPr>
            <w:tcW w:w="2889" w:type="pct"/>
          </w:tcPr>
          <w:p w14:paraId="272A3AD2" w14:textId="77777777" w:rsidR="00487483" w:rsidRPr="00487483" w:rsidRDefault="00487483" w:rsidP="00487483">
            <w:pPr>
              <w:autoSpaceDE w:val="0"/>
              <w:autoSpaceDN w:val="0"/>
              <w:adjustRightInd w:val="0"/>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The main objective of this course is to prevent workplace injuries and fatalities related to falls. This course covers the potential hazards related to working on raised or unstable platforms. The types of tools and equipment for elevating oneself and one’s work materials are identified. Selection, inspection, setup, safe techniques and proper maintenance of equipment are discussed.</w:t>
            </w:r>
          </w:p>
        </w:tc>
        <w:tc>
          <w:tcPr>
            <w:tcW w:w="327" w:type="pct"/>
            <w:vAlign w:val="bottom"/>
          </w:tcPr>
          <w:p w14:paraId="1A1F5E23"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40</w:t>
            </w:r>
          </w:p>
        </w:tc>
        <w:tc>
          <w:tcPr>
            <w:tcW w:w="340" w:type="pct"/>
            <w:vAlign w:val="bottom"/>
          </w:tcPr>
          <w:p w14:paraId="406B2202"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200</w:t>
            </w:r>
          </w:p>
        </w:tc>
        <w:tc>
          <w:tcPr>
            <w:tcW w:w="398" w:type="pct"/>
            <w:vAlign w:val="bottom"/>
          </w:tcPr>
          <w:p w14:paraId="69047087"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3</w:t>
            </w:r>
          </w:p>
        </w:tc>
      </w:tr>
      <w:tr w:rsidR="00487483" w:rsidRPr="00487483" w14:paraId="2A1ADEE2" w14:textId="77777777" w:rsidTr="007853F8">
        <w:trPr>
          <w:jc w:val="center"/>
        </w:trPr>
        <w:tc>
          <w:tcPr>
            <w:tcW w:w="475" w:type="pct"/>
            <w:vAlign w:val="center"/>
          </w:tcPr>
          <w:p w14:paraId="2F9B071F"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OD113</w:t>
            </w:r>
          </w:p>
        </w:tc>
        <w:tc>
          <w:tcPr>
            <w:tcW w:w="571" w:type="pct"/>
          </w:tcPr>
          <w:p w14:paraId="696CFB0A" w14:textId="77777777" w:rsidR="00487483" w:rsidRPr="00487483" w:rsidRDefault="00487483" w:rsidP="00487483">
            <w:pPr>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Leadership</w:t>
            </w:r>
          </w:p>
        </w:tc>
        <w:tc>
          <w:tcPr>
            <w:tcW w:w="2889" w:type="pct"/>
          </w:tcPr>
          <w:p w14:paraId="14E7931D" w14:textId="77777777" w:rsidR="00487483" w:rsidRPr="00487483" w:rsidRDefault="00487483" w:rsidP="00487483">
            <w:pPr>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This course prepares students to take an active role in the construction industry by learning how to use effective communication and planning to make better use of human and physical resources in the workplace to effectively form and lead highly motivated teams and to foster a safe and productive work environment.</w:t>
            </w:r>
          </w:p>
        </w:tc>
        <w:tc>
          <w:tcPr>
            <w:tcW w:w="327" w:type="pct"/>
            <w:vAlign w:val="bottom"/>
          </w:tcPr>
          <w:p w14:paraId="13038945"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40</w:t>
            </w:r>
          </w:p>
        </w:tc>
        <w:tc>
          <w:tcPr>
            <w:tcW w:w="340" w:type="pct"/>
            <w:vAlign w:val="bottom"/>
          </w:tcPr>
          <w:p w14:paraId="09B5C55B"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200</w:t>
            </w:r>
          </w:p>
        </w:tc>
        <w:tc>
          <w:tcPr>
            <w:tcW w:w="398" w:type="pct"/>
            <w:vAlign w:val="bottom"/>
          </w:tcPr>
          <w:p w14:paraId="1D60EAC2"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0</w:t>
            </w:r>
          </w:p>
        </w:tc>
      </w:tr>
      <w:tr w:rsidR="00487483" w:rsidRPr="00487483" w14:paraId="5F2C334C" w14:textId="77777777" w:rsidTr="007853F8">
        <w:trPr>
          <w:jc w:val="center"/>
        </w:trPr>
        <w:tc>
          <w:tcPr>
            <w:tcW w:w="475" w:type="pct"/>
            <w:vAlign w:val="center"/>
          </w:tcPr>
          <w:p w14:paraId="63E545BD"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SFT200</w:t>
            </w:r>
          </w:p>
        </w:tc>
        <w:tc>
          <w:tcPr>
            <w:tcW w:w="571" w:type="pct"/>
          </w:tcPr>
          <w:p w14:paraId="6DB141FE" w14:textId="77777777" w:rsidR="00487483" w:rsidRPr="00487483" w:rsidRDefault="00487483" w:rsidP="00487483">
            <w:pPr>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Lead Safety</w:t>
            </w:r>
          </w:p>
        </w:tc>
        <w:tc>
          <w:tcPr>
            <w:tcW w:w="2889" w:type="pct"/>
          </w:tcPr>
          <w:p w14:paraId="443DA16A" w14:textId="77777777" w:rsidR="00487483" w:rsidRPr="00487483" w:rsidRDefault="00487483" w:rsidP="00487483">
            <w:pPr>
              <w:spacing w:after="0" w:line="240" w:lineRule="auto"/>
              <w:rPr>
                <w:rFonts w:ascii="Calibri" w:eastAsia="Times New Roman" w:hAnsi="Calibri" w:cs="Calibri"/>
                <w:sz w:val="18"/>
                <w:szCs w:val="18"/>
              </w:rPr>
            </w:pPr>
            <w:r w:rsidRPr="00487483">
              <w:rPr>
                <w:rFonts w:ascii="Calibri" w:eastAsia="Times New Roman" w:hAnsi="Calibri" w:cs="Calibri"/>
                <w:sz w:val="18"/>
                <w:szCs w:val="18"/>
                <w:lang w:val="en-GB"/>
              </w:rPr>
              <w:t>This course presents the NJ/EPA model curriculum for lead-based paint (LBP) abatement workers. Using classroom activities, demonstrations and significant hands-on training. Students will learn how to safely abate lead-based paint in both interior and exterior environments.</w:t>
            </w:r>
          </w:p>
        </w:tc>
        <w:tc>
          <w:tcPr>
            <w:tcW w:w="327" w:type="pct"/>
            <w:vAlign w:val="bottom"/>
          </w:tcPr>
          <w:p w14:paraId="0B6627F8"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40</w:t>
            </w:r>
          </w:p>
        </w:tc>
        <w:tc>
          <w:tcPr>
            <w:tcW w:w="340" w:type="pct"/>
            <w:vAlign w:val="bottom"/>
          </w:tcPr>
          <w:p w14:paraId="6917FB01"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200</w:t>
            </w:r>
          </w:p>
        </w:tc>
        <w:tc>
          <w:tcPr>
            <w:tcW w:w="398" w:type="pct"/>
            <w:vAlign w:val="bottom"/>
          </w:tcPr>
          <w:p w14:paraId="5805521E"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3</w:t>
            </w:r>
          </w:p>
        </w:tc>
      </w:tr>
      <w:tr w:rsidR="00487483" w:rsidRPr="00487483" w14:paraId="3A9BF232" w14:textId="77777777" w:rsidTr="007853F8">
        <w:trPr>
          <w:jc w:val="center"/>
        </w:trPr>
        <w:tc>
          <w:tcPr>
            <w:tcW w:w="475" w:type="pct"/>
            <w:vAlign w:val="center"/>
          </w:tcPr>
          <w:p w14:paraId="3DB8C1C0"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PAT130</w:t>
            </w:r>
          </w:p>
        </w:tc>
        <w:tc>
          <w:tcPr>
            <w:tcW w:w="571" w:type="pct"/>
          </w:tcPr>
          <w:p w14:paraId="73EDC61A" w14:textId="77777777" w:rsidR="00487483" w:rsidRPr="00487483" w:rsidRDefault="00487483" w:rsidP="00487483">
            <w:pPr>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Intro to Industrial Painting</w:t>
            </w:r>
          </w:p>
        </w:tc>
        <w:tc>
          <w:tcPr>
            <w:tcW w:w="2889" w:type="pct"/>
          </w:tcPr>
          <w:p w14:paraId="03D5CE1B" w14:textId="77777777" w:rsidR="00487483" w:rsidRPr="00487483" w:rsidRDefault="00487483" w:rsidP="00487483">
            <w:pPr>
              <w:autoSpaceDE w:val="0"/>
              <w:autoSpaceDN w:val="0"/>
              <w:adjustRightInd w:val="0"/>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This class will orient individuals to the industrial painting profession. Topics to be covered include coating materials, tools, equipment and terminology. The differences between industrial painting and commercial painting will be identified and described.</w:t>
            </w:r>
          </w:p>
        </w:tc>
        <w:tc>
          <w:tcPr>
            <w:tcW w:w="327" w:type="pct"/>
            <w:vAlign w:val="bottom"/>
          </w:tcPr>
          <w:p w14:paraId="3C50A29F"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60</w:t>
            </w:r>
          </w:p>
        </w:tc>
        <w:tc>
          <w:tcPr>
            <w:tcW w:w="340" w:type="pct"/>
            <w:vAlign w:val="bottom"/>
          </w:tcPr>
          <w:p w14:paraId="7C7B8C2B"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300</w:t>
            </w:r>
          </w:p>
        </w:tc>
        <w:tc>
          <w:tcPr>
            <w:tcW w:w="398" w:type="pct"/>
            <w:vAlign w:val="bottom"/>
          </w:tcPr>
          <w:p w14:paraId="2ABD48BB"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3</w:t>
            </w:r>
          </w:p>
        </w:tc>
      </w:tr>
      <w:tr w:rsidR="00487483" w:rsidRPr="00487483" w14:paraId="768060CB" w14:textId="77777777" w:rsidTr="007853F8">
        <w:trPr>
          <w:jc w:val="center"/>
        </w:trPr>
        <w:tc>
          <w:tcPr>
            <w:tcW w:w="475" w:type="pct"/>
            <w:vAlign w:val="center"/>
          </w:tcPr>
          <w:p w14:paraId="0BA72DDA"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PAT131</w:t>
            </w:r>
          </w:p>
        </w:tc>
        <w:tc>
          <w:tcPr>
            <w:tcW w:w="571" w:type="pct"/>
          </w:tcPr>
          <w:p w14:paraId="2796B4D3" w14:textId="77777777" w:rsidR="00487483" w:rsidRPr="00487483" w:rsidRDefault="00487483" w:rsidP="00487483">
            <w:pPr>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Surface Preparation</w:t>
            </w:r>
          </w:p>
        </w:tc>
        <w:tc>
          <w:tcPr>
            <w:tcW w:w="2889" w:type="pct"/>
          </w:tcPr>
          <w:p w14:paraId="5BA3D812" w14:textId="77777777" w:rsidR="00487483" w:rsidRPr="00487483" w:rsidRDefault="00487483" w:rsidP="00487483">
            <w:pPr>
              <w:autoSpaceDE w:val="0"/>
              <w:autoSpaceDN w:val="0"/>
              <w:adjustRightInd w:val="0"/>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This course covers the tools, materials and methods used for cleaning and preparing surfaces using solvents, hand tools and power tools. Content in this course is based on the methods and procedures specified by SSPC and NACE.</w:t>
            </w:r>
          </w:p>
        </w:tc>
        <w:tc>
          <w:tcPr>
            <w:tcW w:w="327" w:type="pct"/>
            <w:vAlign w:val="bottom"/>
          </w:tcPr>
          <w:p w14:paraId="37A50714"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40</w:t>
            </w:r>
          </w:p>
        </w:tc>
        <w:tc>
          <w:tcPr>
            <w:tcW w:w="340" w:type="pct"/>
            <w:vAlign w:val="bottom"/>
          </w:tcPr>
          <w:p w14:paraId="510D4A41"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900</w:t>
            </w:r>
          </w:p>
        </w:tc>
        <w:tc>
          <w:tcPr>
            <w:tcW w:w="398" w:type="pct"/>
            <w:vAlign w:val="bottom"/>
          </w:tcPr>
          <w:p w14:paraId="05E67E1A"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3</w:t>
            </w:r>
          </w:p>
        </w:tc>
      </w:tr>
      <w:tr w:rsidR="00487483" w:rsidRPr="00487483" w14:paraId="0EB0F0C1" w14:textId="77777777" w:rsidTr="007853F8">
        <w:trPr>
          <w:jc w:val="center"/>
        </w:trPr>
        <w:tc>
          <w:tcPr>
            <w:tcW w:w="475" w:type="pct"/>
            <w:vAlign w:val="center"/>
          </w:tcPr>
          <w:p w14:paraId="360E322D"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PAT132</w:t>
            </w:r>
          </w:p>
        </w:tc>
        <w:tc>
          <w:tcPr>
            <w:tcW w:w="571" w:type="pct"/>
          </w:tcPr>
          <w:p w14:paraId="59A7A783" w14:textId="77777777" w:rsidR="00487483" w:rsidRPr="00487483" w:rsidRDefault="00487483" w:rsidP="00487483">
            <w:pPr>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Materials for Industrial Painting</w:t>
            </w:r>
          </w:p>
        </w:tc>
        <w:tc>
          <w:tcPr>
            <w:tcW w:w="2889" w:type="pct"/>
          </w:tcPr>
          <w:p w14:paraId="0FD22B27" w14:textId="77777777" w:rsidR="00487483" w:rsidRPr="00487483" w:rsidRDefault="00487483" w:rsidP="00487483">
            <w:pPr>
              <w:autoSpaceDE w:val="0"/>
              <w:autoSpaceDN w:val="0"/>
              <w:adjustRightInd w:val="0"/>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This course covers the tools, materials and methods used for cleaning and preparing surfaces using solvents, hand tools and power tools. Content in this course is based on the methods and procedures specified by SSPC and NACE.</w:t>
            </w:r>
          </w:p>
        </w:tc>
        <w:tc>
          <w:tcPr>
            <w:tcW w:w="327" w:type="pct"/>
            <w:vAlign w:val="bottom"/>
          </w:tcPr>
          <w:p w14:paraId="0CCE337D"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40</w:t>
            </w:r>
          </w:p>
        </w:tc>
        <w:tc>
          <w:tcPr>
            <w:tcW w:w="340" w:type="pct"/>
            <w:vAlign w:val="bottom"/>
          </w:tcPr>
          <w:p w14:paraId="5D99FE5A"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800</w:t>
            </w:r>
          </w:p>
        </w:tc>
        <w:tc>
          <w:tcPr>
            <w:tcW w:w="398" w:type="pct"/>
            <w:vAlign w:val="bottom"/>
          </w:tcPr>
          <w:p w14:paraId="77BFA885"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3</w:t>
            </w:r>
          </w:p>
        </w:tc>
      </w:tr>
      <w:tr w:rsidR="00487483" w:rsidRPr="00487483" w14:paraId="1C79EE8C" w14:textId="77777777" w:rsidTr="007853F8">
        <w:trPr>
          <w:jc w:val="center"/>
        </w:trPr>
        <w:tc>
          <w:tcPr>
            <w:tcW w:w="475" w:type="pct"/>
            <w:vAlign w:val="center"/>
          </w:tcPr>
          <w:p w14:paraId="3510C819"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PAT133</w:t>
            </w:r>
          </w:p>
        </w:tc>
        <w:tc>
          <w:tcPr>
            <w:tcW w:w="571" w:type="pct"/>
          </w:tcPr>
          <w:p w14:paraId="5FD93275" w14:textId="77777777" w:rsidR="00487483" w:rsidRPr="00487483" w:rsidRDefault="00487483" w:rsidP="00487483">
            <w:pPr>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Techniques of Spraying</w:t>
            </w:r>
          </w:p>
        </w:tc>
        <w:tc>
          <w:tcPr>
            <w:tcW w:w="2889" w:type="pct"/>
          </w:tcPr>
          <w:p w14:paraId="2A71A85E" w14:textId="77777777" w:rsidR="00487483" w:rsidRPr="00487483" w:rsidRDefault="00487483" w:rsidP="00487483">
            <w:pPr>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This course covers the fundamentals of spray painting with a detailed discussion of the most common spray-painting systems: electrostatic, turbine, airless, conventional, air, HVLP, and turbine. Student will also learn how to safely use spray equipment and the potential hazards involved.</w:t>
            </w:r>
          </w:p>
        </w:tc>
        <w:tc>
          <w:tcPr>
            <w:tcW w:w="327" w:type="pct"/>
            <w:vAlign w:val="bottom"/>
          </w:tcPr>
          <w:p w14:paraId="6554ED45"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70</w:t>
            </w:r>
          </w:p>
        </w:tc>
        <w:tc>
          <w:tcPr>
            <w:tcW w:w="340" w:type="pct"/>
            <w:vAlign w:val="bottom"/>
          </w:tcPr>
          <w:p w14:paraId="061F6914"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1550</w:t>
            </w:r>
          </w:p>
        </w:tc>
        <w:tc>
          <w:tcPr>
            <w:tcW w:w="398" w:type="pct"/>
            <w:vAlign w:val="bottom"/>
          </w:tcPr>
          <w:p w14:paraId="7E0EE526"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6</w:t>
            </w:r>
          </w:p>
        </w:tc>
      </w:tr>
      <w:tr w:rsidR="00487483" w:rsidRPr="00487483" w14:paraId="45D240D4" w14:textId="77777777" w:rsidTr="007853F8">
        <w:trPr>
          <w:jc w:val="center"/>
        </w:trPr>
        <w:tc>
          <w:tcPr>
            <w:tcW w:w="475" w:type="pct"/>
            <w:vAlign w:val="center"/>
          </w:tcPr>
          <w:p w14:paraId="0CC14190"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PAT230</w:t>
            </w:r>
          </w:p>
        </w:tc>
        <w:tc>
          <w:tcPr>
            <w:tcW w:w="571" w:type="pct"/>
          </w:tcPr>
          <w:p w14:paraId="6CFCD679" w14:textId="77777777" w:rsidR="00487483" w:rsidRPr="00487483" w:rsidRDefault="00487483" w:rsidP="00487483">
            <w:pPr>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Testing and Quality Control</w:t>
            </w:r>
          </w:p>
        </w:tc>
        <w:tc>
          <w:tcPr>
            <w:tcW w:w="2889" w:type="pct"/>
          </w:tcPr>
          <w:p w14:paraId="3ABCE3C2" w14:textId="77777777" w:rsidR="00487483" w:rsidRPr="00487483" w:rsidRDefault="00487483" w:rsidP="00487483">
            <w:pPr>
              <w:autoSpaceDE w:val="0"/>
              <w:autoSpaceDN w:val="0"/>
              <w:adjustRightInd w:val="0"/>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This course covers quality control and quality assurance. Students learn how to recognize failures of paint coatings, causes of failures and their remedies. Students also learn to conduct a quality control inspection and the standards that apply to the various tasks performed during the inspection process.</w:t>
            </w:r>
          </w:p>
        </w:tc>
        <w:tc>
          <w:tcPr>
            <w:tcW w:w="327" w:type="pct"/>
            <w:vAlign w:val="bottom"/>
          </w:tcPr>
          <w:p w14:paraId="7B7A506E"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60</w:t>
            </w:r>
          </w:p>
        </w:tc>
        <w:tc>
          <w:tcPr>
            <w:tcW w:w="340" w:type="pct"/>
            <w:vAlign w:val="bottom"/>
          </w:tcPr>
          <w:p w14:paraId="1E6C8CB1"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850</w:t>
            </w:r>
          </w:p>
        </w:tc>
        <w:tc>
          <w:tcPr>
            <w:tcW w:w="398" w:type="pct"/>
            <w:vAlign w:val="bottom"/>
          </w:tcPr>
          <w:p w14:paraId="455E182D"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3</w:t>
            </w:r>
          </w:p>
        </w:tc>
      </w:tr>
      <w:tr w:rsidR="00487483" w:rsidRPr="00487483" w14:paraId="2762181C" w14:textId="77777777" w:rsidTr="007853F8">
        <w:trPr>
          <w:jc w:val="center"/>
        </w:trPr>
        <w:tc>
          <w:tcPr>
            <w:tcW w:w="475" w:type="pct"/>
            <w:vAlign w:val="center"/>
          </w:tcPr>
          <w:p w14:paraId="2E0DCD9F"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SFT214</w:t>
            </w:r>
          </w:p>
        </w:tc>
        <w:tc>
          <w:tcPr>
            <w:tcW w:w="571" w:type="pct"/>
          </w:tcPr>
          <w:p w14:paraId="629626F9" w14:textId="77777777" w:rsidR="00487483" w:rsidRPr="00487483" w:rsidRDefault="00487483" w:rsidP="00487483">
            <w:pPr>
              <w:spacing w:after="0" w:line="240" w:lineRule="auto"/>
              <w:rPr>
                <w:rFonts w:ascii="Calibri" w:eastAsia="Times New Roman" w:hAnsi="Calibri" w:cs="Calibri"/>
                <w:sz w:val="18"/>
                <w:szCs w:val="18"/>
              </w:rPr>
            </w:pPr>
            <w:r w:rsidRPr="00487483">
              <w:rPr>
                <w:rFonts w:ascii="Calibri" w:eastAsia="Times New Roman" w:hAnsi="Calibri" w:cs="Calibri"/>
                <w:sz w:val="18"/>
                <w:szCs w:val="18"/>
              </w:rPr>
              <w:t>Lead Abatement</w:t>
            </w:r>
          </w:p>
        </w:tc>
        <w:tc>
          <w:tcPr>
            <w:tcW w:w="2889" w:type="pct"/>
          </w:tcPr>
          <w:p w14:paraId="356212F9" w14:textId="77777777" w:rsidR="00487483" w:rsidRPr="00487483" w:rsidRDefault="00487483" w:rsidP="00487483">
            <w:pPr>
              <w:spacing w:after="0" w:line="240" w:lineRule="auto"/>
              <w:rPr>
                <w:rFonts w:ascii="Calibri" w:eastAsia="Times New Roman" w:hAnsi="Calibri" w:cs="Calibri"/>
                <w:sz w:val="18"/>
                <w:szCs w:val="18"/>
              </w:rPr>
            </w:pPr>
            <w:r w:rsidRPr="00487483">
              <w:rPr>
                <w:rFonts w:ascii="Calibri" w:eastAsia="Times New Roman" w:hAnsi="Calibri" w:cs="Calibri"/>
                <w:sz w:val="18"/>
                <w:szCs w:val="18"/>
                <w:lang w:val="en-GB"/>
              </w:rPr>
              <w:t>This course presents the NJ/EPA model curriculum for lead-based paint (LBP) abatement workers. Using classroom activities, demonstrations and significant hands-on training. Students will learn how to safely abate lead-based paint in both interior and exterior environments.</w:t>
            </w:r>
          </w:p>
        </w:tc>
        <w:tc>
          <w:tcPr>
            <w:tcW w:w="327" w:type="pct"/>
            <w:vAlign w:val="bottom"/>
          </w:tcPr>
          <w:p w14:paraId="0E7E9F3F"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50</w:t>
            </w:r>
          </w:p>
        </w:tc>
        <w:tc>
          <w:tcPr>
            <w:tcW w:w="340" w:type="pct"/>
            <w:vAlign w:val="bottom"/>
          </w:tcPr>
          <w:p w14:paraId="2AAFDDA0"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500</w:t>
            </w:r>
          </w:p>
        </w:tc>
        <w:tc>
          <w:tcPr>
            <w:tcW w:w="398" w:type="pct"/>
            <w:vAlign w:val="bottom"/>
          </w:tcPr>
          <w:p w14:paraId="37D5FD45" w14:textId="77777777" w:rsidR="00487483" w:rsidRPr="00487483" w:rsidRDefault="00487483" w:rsidP="00487483">
            <w:pPr>
              <w:spacing w:after="0" w:line="240" w:lineRule="auto"/>
              <w:jc w:val="center"/>
              <w:rPr>
                <w:rFonts w:ascii="Calibri" w:eastAsia="Times New Roman" w:hAnsi="Calibri" w:cs="Calibri"/>
                <w:sz w:val="18"/>
                <w:szCs w:val="18"/>
              </w:rPr>
            </w:pPr>
            <w:r w:rsidRPr="00487483">
              <w:rPr>
                <w:rFonts w:ascii="Calibri" w:eastAsia="Times New Roman" w:hAnsi="Calibri" w:cs="Calibri"/>
                <w:sz w:val="18"/>
                <w:szCs w:val="18"/>
              </w:rPr>
              <w:t>3</w:t>
            </w:r>
          </w:p>
        </w:tc>
      </w:tr>
      <w:tr w:rsidR="00487483" w:rsidRPr="00487483" w14:paraId="742386A6" w14:textId="77777777" w:rsidTr="007853F8">
        <w:trPr>
          <w:jc w:val="center"/>
        </w:trPr>
        <w:tc>
          <w:tcPr>
            <w:tcW w:w="475" w:type="pct"/>
          </w:tcPr>
          <w:p w14:paraId="7943AE0E" w14:textId="77777777" w:rsidR="00487483" w:rsidRPr="00487483" w:rsidRDefault="00487483" w:rsidP="00487483">
            <w:pPr>
              <w:spacing w:after="0" w:line="240" w:lineRule="auto"/>
              <w:rPr>
                <w:rFonts w:ascii="Calibri" w:eastAsia="Times New Roman" w:hAnsi="Calibri" w:cs="Calibri"/>
                <w:b/>
                <w:sz w:val="18"/>
                <w:szCs w:val="18"/>
              </w:rPr>
            </w:pPr>
            <w:r w:rsidRPr="00487483">
              <w:rPr>
                <w:rFonts w:ascii="Calibri" w:eastAsia="Times New Roman" w:hAnsi="Calibri" w:cs="Calibri"/>
                <w:b/>
                <w:sz w:val="18"/>
                <w:szCs w:val="18"/>
              </w:rPr>
              <w:lastRenderedPageBreak/>
              <w:t>TOTALS</w:t>
            </w:r>
          </w:p>
        </w:tc>
        <w:tc>
          <w:tcPr>
            <w:tcW w:w="571" w:type="pct"/>
          </w:tcPr>
          <w:p w14:paraId="34793EA8" w14:textId="77777777" w:rsidR="00487483" w:rsidRPr="00487483" w:rsidRDefault="00487483" w:rsidP="00487483">
            <w:pPr>
              <w:spacing w:after="0" w:line="240" w:lineRule="auto"/>
              <w:jc w:val="center"/>
              <w:rPr>
                <w:rFonts w:ascii="Calibri" w:eastAsia="Times New Roman" w:hAnsi="Calibri" w:cs="Calibri"/>
                <w:sz w:val="18"/>
                <w:szCs w:val="18"/>
              </w:rPr>
            </w:pPr>
          </w:p>
        </w:tc>
        <w:tc>
          <w:tcPr>
            <w:tcW w:w="2889" w:type="pct"/>
          </w:tcPr>
          <w:p w14:paraId="2A657857" w14:textId="77777777" w:rsidR="00487483" w:rsidRPr="00487483" w:rsidRDefault="00487483" w:rsidP="00487483">
            <w:pPr>
              <w:spacing w:after="0" w:line="240" w:lineRule="auto"/>
              <w:jc w:val="center"/>
              <w:rPr>
                <w:rFonts w:ascii="Calibri" w:eastAsia="Times New Roman" w:hAnsi="Calibri" w:cs="Calibri"/>
                <w:sz w:val="18"/>
                <w:szCs w:val="18"/>
              </w:rPr>
            </w:pPr>
          </w:p>
        </w:tc>
        <w:tc>
          <w:tcPr>
            <w:tcW w:w="327" w:type="pct"/>
            <w:vAlign w:val="bottom"/>
          </w:tcPr>
          <w:p w14:paraId="11C67C1F" w14:textId="77777777" w:rsidR="00487483" w:rsidRPr="00487483" w:rsidRDefault="00487483" w:rsidP="00487483">
            <w:pPr>
              <w:spacing w:after="0" w:line="240" w:lineRule="auto"/>
              <w:jc w:val="center"/>
              <w:rPr>
                <w:rFonts w:ascii="Calibri" w:eastAsia="Times New Roman" w:hAnsi="Calibri" w:cs="Calibri"/>
                <w:b/>
                <w:sz w:val="18"/>
                <w:szCs w:val="18"/>
              </w:rPr>
            </w:pPr>
            <w:r w:rsidRPr="00487483">
              <w:rPr>
                <w:rFonts w:ascii="Calibri" w:eastAsia="Times New Roman" w:hAnsi="Calibri" w:cs="Calibri"/>
                <w:b/>
                <w:sz w:val="18"/>
                <w:szCs w:val="18"/>
              </w:rPr>
              <w:t>640</w:t>
            </w:r>
          </w:p>
        </w:tc>
        <w:tc>
          <w:tcPr>
            <w:tcW w:w="340" w:type="pct"/>
            <w:vAlign w:val="bottom"/>
          </w:tcPr>
          <w:p w14:paraId="069474ED" w14:textId="77777777" w:rsidR="00487483" w:rsidRPr="00487483" w:rsidRDefault="00487483" w:rsidP="00487483">
            <w:pPr>
              <w:spacing w:after="0" w:line="240" w:lineRule="auto"/>
              <w:jc w:val="center"/>
              <w:rPr>
                <w:rFonts w:ascii="Calibri" w:eastAsia="Times New Roman" w:hAnsi="Calibri" w:cs="Calibri"/>
                <w:b/>
                <w:sz w:val="18"/>
                <w:szCs w:val="18"/>
              </w:rPr>
            </w:pPr>
            <w:r w:rsidRPr="00487483">
              <w:rPr>
                <w:rFonts w:ascii="Calibri" w:eastAsia="Times New Roman" w:hAnsi="Calibri" w:cs="Calibri"/>
                <w:b/>
                <w:sz w:val="18"/>
                <w:szCs w:val="18"/>
              </w:rPr>
              <w:t>6000</w:t>
            </w:r>
          </w:p>
        </w:tc>
        <w:tc>
          <w:tcPr>
            <w:tcW w:w="398" w:type="pct"/>
            <w:vAlign w:val="bottom"/>
          </w:tcPr>
          <w:p w14:paraId="08565C67" w14:textId="77777777" w:rsidR="00487483" w:rsidRPr="00487483" w:rsidRDefault="00487483" w:rsidP="00487483">
            <w:pPr>
              <w:spacing w:after="0" w:line="240" w:lineRule="auto"/>
              <w:jc w:val="center"/>
              <w:rPr>
                <w:rFonts w:ascii="Calibri" w:eastAsia="Times New Roman" w:hAnsi="Calibri" w:cs="Calibri"/>
                <w:b/>
                <w:sz w:val="18"/>
                <w:szCs w:val="18"/>
              </w:rPr>
            </w:pPr>
            <w:r w:rsidRPr="00487483">
              <w:rPr>
                <w:rFonts w:ascii="Calibri" w:eastAsia="Times New Roman" w:hAnsi="Calibri" w:cs="Calibri"/>
                <w:b/>
                <w:sz w:val="18"/>
                <w:szCs w:val="18"/>
              </w:rPr>
              <w:t>39</w:t>
            </w:r>
          </w:p>
        </w:tc>
      </w:tr>
    </w:tbl>
    <w:p w14:paraId="11F18718" w14:textId="77777777" w:rsidR="00E86A33" w:rsidRDefault="00477DEA"/>
    <w:sectPr w:rsidR="00E86A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F979E" w14:textId="77777777" w:rsidR="00477DEA" w:rsidRDefault="00477DEA" w:rsidP="00487483">
      <w:pPr>
        <w:spacing w:after="0" w:line="240" w:lineRule="auto"/>
      </w:pPr>
      <w:r>
        <w:separator/>
      </w:r>
    </w:p>
  </w:endnote>
  <w:endnote w:type="continuationSeparator" w:id="0">
    <w:p w14:paraId="33468C9E" w14:textId="77777777" w:rsidR="00477DEA" w:rsidRDefault="00477DEA" w:rsidP="00487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4DC5C" w14:textId="77777777" w:rsidR="00477DEA" w:rsidRDefault="00477DEA" w:rsidP="00487483">
      <w:pPr>
        <w:spacing w:after="0" w:line="240" w:lineRule="auto"/>
      </w:pPr>
      <w:r>
        <w:separator/>
      </w:r>
    </w:p>
  </w:footnote>
  <w:footnote w:type="continuationSeparator" w:id="0">
    <w:p w14:paraId="3D0C2B51" w14:textId="77777777" w:rsidR="00477DEA" w:rsidRDefault="00477DEA" w:rsidP="00487483">
      <w:pPr>
        <w:spacing w:after="0" w:line="240" w:lineRule="auto"/>
      </w:pPr>
      <w:r>
        <w:continuationSeparator/>
      </w:r>
    </w:p>
  </w:footnote>
  <w:footnote w:id="1">
    <w:p w14:paraId="7687B27E" w14:textId="77777777" w:rsidR="00487483" w:rsidRPr="00324454" w:rsidRDefault="00487483" w:rsidP="00487483">
      <w:pPr>
        <w:pStyle w:val="FootnoteText"/>
      </w:pPr>
      <w:r w:rsidRPr="00324454">
        <w:rPr>
          <w:rStyle w:val="FootnoteReference"/>
        </w:rPr>
        <w:footnoteRef/>
      </w:r>
      <w:r w:rsidRPr="00324454">
        <w:t xml:space="preserve"> Students also receive 12 credits for the Internship.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13C1E"/>
    <w:multiLevelType w:val="hybridMultilevel"/>
    <w:tmpl w:val="FB2C8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83"/>
    <w:rsid w:val="00007DBC"/>
    <w:rsid w:val="00074FBF"/>
    <w:rsid w:val="00151183"/>
    <w:rsid w:val="00170D2A"/>
    <w:rsid w:val="00186601"/>
    <w:rsid w:val="001D2AFF"/>
    <w:rsid w:val="00220EBB"/>
    <w:rsid w:val="002A1064"/>
    <w:rsid w:val="002D47F1"/>
    <w:rsid w:val="003176E9"/>
    <w:rsid w:val="003247C6"/>
    <w:rsid w:val="0036503A"/>
    <w:rsid w:val="003E1009"/>
    <w:rsid w:val="00451B11"/>
    <w:rsid w:val="0046121E"/>
    <w:rsid w:val="00477DEA"/>
    <w:rsid w:val="00487483"/>
    <w:rsid w:val="00512555"/>
    <w:rsid w:val="005132EA"/>
    <w:rsid w:val="00541377"/>
    <w:rsid w:val="00547CDE"/>
    <w:rsid w:val="00581F1D"/>
    <w:rsid w:val="005A79FA"/>
    <w:rsid w:val="005B6BE2"/>
    <w:rsid w:val="005F0C96"/>
    <w:rsid w:val="006167DB"/>
    <w:rsid w:val="00651171"/>
    <w:rsid w:val="007E155A"/>
    <w:rsid w:val="008044DE"/>
    <w:rsid w:val="0082432C"/>
    <w:rsid w:val="00827E04"/>
    <w:rsid w:val="00837C53"/>
    <w:rsid w:val="00867D36"/>
    <w:rsid w:val="0093257F"/>
    <w:rsid w:val="00963CCA"/>
    <w:rsid w:val="00977B8E"/>
    <w:rsid w:val="009901FA"/>
    <w:rsid w:val="00B46EF9"/>
    <w:rsid w:val="00B94561"/>
    <w:rsid w:val="00C841E7"/>
    <w:rsid w:val="00C947A2"/>
    <w:rsid w:val="00D371FC"/>
    <w:rsid w:val="00DE05F0"/>
    <w:rsid w:val="00E127B2"/>
    <w:rsid w:val="00E256FB"/>
    <w:rsid w:val="00EB08F4"/>
    <w:rsid w:val="00F91971"/>
    <w:rsid w:val="00FE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5FC272"/>
  <w15:docId w15:val="{A70A5D5C-0C50-D54C-A78B-3137DB93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874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87483"/>
    <w:rPr>
      <w:rFonts w:ascii="Times New Roman" w:eastAsia="Times New Roman" w:hAnsi="Times New Roman" w:cs="Times New Roman"/>
      <w:sz w:val="20"/>
      <w:szCs w:val="20"/>
    </w:rPr>
  </w:style>
  <w:style w:type="character" w:styleId="FootnoteReference">
    <w:name w:val="footnote reference"/>
    <w:uiPriority w:val="99"/>
    <w:semiHidden/>
    <w:rsid w:val="004874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Peters</dc:creator>
  <cp:keywords/>
  <dc:description/>
  <cp:lastModifiedBy>Corey Grant</cp:lastModifiedBy>
  <cp:revision>2</cp:revision>
  <dcterms:created xsi:type="dcterms:W3CDTF">2019-06-14T21:24:00Z</dcterms:created>
  <dcterms:modified xsi:type="dcterms:W3CDTF">2019-06-14T21:24:00Z</dcterms:modified>
</cp:coreProperties>
</file>